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7EC15871"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2F78B5">
        <w:rPr>
          <w:rFonts w:eastAsia="Arial Unicode MS" w:cs="Times New Roman"/>
          <w:b/>
          <w:color w:val="000000"/>
          <w:kern w:val="0"/>
          <w:lang w:eastAsia="lv-LV" w:bidi="ar-SA"/>
        </w:rPr>
        <w:t>47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2F78B5">
        <w:rPr>
          <w:rFonts w:eastAsia="Arial Unicode MS" w:cs="Times New Roman"/>
          <w:color w:val="000000"/>
          <w:kern w:val="0"/>
          <w:lang w:eastAsia="lv-LV" w:bidi="ar-SA"/>
        </w:rPr>
        <w:t>24</w:t>
      </w:r>
      <w:r w:rsidR="002E36B6" w:rsidRPr="006C111A">
        <w:rPr>
          <w:rFonts w:eastAsia="Arial Unicode MS" w:cs="Times New Roman"/>
          <w:color w:val="000000"/>
          <w:kern w:val="0"/>
          <w:lang w:eastAsia="lv-LV" w:bidi="ar-SA"/>
        </w:rPr>
        <w:t>. p.)</w:t>
      </w:r>
    </w:p>
    <w:p w14:paraId="46991BAA" w14:textId="77B9119D" w:rsidR="00DE716A" w:rsidRPr="00DE716A" w:rsidRDefault="00DE716A" w:rsidP="00DE716A">
      <w:pPr>
        <w:rPr>
          <w:rFonts w:cs="Times New Roman"/>
          <w:b/>
          <w:color w:val="000000" w:themeColor="text1"/>
          <w:lang w:eastAsia="lv-LV"/>
        </w:rPr>
      </w:pPr>
    </w:p>
    <w:p w14:paraId="108E5454" w14:textId="77777777" w:rsidR="002F78B5" w:rsidRPr="002F78B5" w:rsidRDefault="002F78B5" w:rsidP="002F78B5">
      <w:pPr>
        <w:pStyle w:val="Virsraksts1"/>
        <w:ind w:firstLine="0"/>
        <w:rPr>
          <w:rFonts w:ascii="Times New Roman" w:hAnsi="Times New Roman" w:cs="Times New Roman"/>
          <w:b/>
          <w:color w:val="000000" w:themeColor="text1"/>
        </w:rPr>
      </w:pPr>
      <w:r w:rsidRPr="002F78B5">
        <w:rPr>
          <w:rFonts w:ascii="Times New Roman" w:hAnsi="Times New Roman" w:cs="Times New Roman"/>
          <w:b/>
          <w:color w:val="000000" w:themeColor="text1"/>
        </w:rPr>
        <w:t>Par savstarpējo robežu pārkārtošanu zemes vienībās ar kadastra apzīmējumiem 70680090097 un 70680090099 Liezēres pagastā, Madonas novadā</w:t>
      </w:r>
    </w:p>
    <w:p w14:paraId="0B98F265" w14:textId="77777777" w:rsidR="002F78B5" w:rsidRPr="002F78B5" w:rsidRDefault="002F78B5" w:rsidP="002F78B5">
      <w:pPr>
        <w:jc w:val="both"/>
        <w:rPr>
          <w:rFonts w:eastAsia="Calibri" w:cs="Times New Roman"/>
          <w:i/>
          <w:color w:val="000000" w:themeColor="text1"/>
        </w:rPr>
      </w:pPr>
    </w:p>
    <w:p w14:paraId="0597B83B" w14:textId="77777777" w:rsidR="002F78B5" w:rsidRPr="002F78B5" w:rsidRDefault="002F78B5" w:rsidP="002F78B5">
      <w:pPr>
        <w:ind w:firstLine="284"/>
        <w:jc w:val="both"/>
        <w:rPr>
          <w:rFonts w:cs="Times New Roman"/>
          <w:i/>
          <w:color w:val="000000" w:themeColor="text1"/>
          <w:shd w:val="clear" w:color="auto" w:fill="FFFFFF"/>
        </w:rPr>
      </w:pPr>
      <w:r w:rsidRPr="002F78B5">
        <w:rPr>
          <w:rFonts w:eastAsia="Calibri" w:cs="Times New Roman"/>
          <w:color w:val="000000" w:themeColor="text1"/>
        </w:rPr>
        <w:tab/>
        <w:t xml:space="preserve">Madonas novada pašvaldībā saņemts Valsts sabiedrības ar ierobežotu atbildību “Latvijas valsts ceļi” 2022. gada 19. aprīļa iesniegums Nr.4.9/5860 (reģistrēts Madonas novada pašvaldībā 2022. gada 19. aprīlī ar </w:t>
      </w:r>
      <w:proofErr w:type="spellStart"/>
      <w:r w:rsidRPr="002F78B5">
        <w:rPr>
          <w:rFonts w:eastAsia="Calibri" w:cs="Times New Roman"/>
          <w:color w:val="000000" w:themeColor="text1"/>
        </w:rPr>
        <w:t>reģ</w:t>
      </w:r>
      <w:proofErr w:type="spellEnd"/>
      <w:r w:rsidRPr="002F78B5">
        <w:rPr>
          <w:rFonts w:eastAsia="Calibri" w:cs="Times New Roman"/>
          <w:color w:val="000000" w:themeColor="text1"/>
        </w:rPr>
        <w:t xml:space="preserve">. Nr. </w:t>
      </w:r>
      <w:r w:rsidRPr="002F78B5">
        <w:rPr>
          <w:rFonts w:cs="Times New Roman"/>
          <w:color w:val="000000" w:themeColor="text1"/>
          <w:shd w:val="clear" w:color="auto" w:fill="FFFFFF"/>
        </w:rPr>
        <w:t xml:space="preserve">2.1.3.1/22/1563), ar </w:t>
      </w:r>
      <w:r w:rsidRPr="002F78B5">
        <w:rPr>
          <w:rFonts w:eastAsia="Calibri" w:cs="Times New Roman"/>
          <w:color w:val="000000" w:themeColor="text1"/>
        </w:rPr>
        <w:t xml:space="preserve">lūgumu veikt savstarpējo robežu pārkārtošanu starp zemes vienību ar kadastra apzīmējumu 70680090097 un zemes vienību ar kadastra apzīmējumu 70680090099, </w:t>
      </w:r>
      <w:r w:rsidRPr="002F78B5">
        <w:rPr>
          <w:rFonts w:cs="Times New Roman"/>
          <w:color w:val="000000" w:themeColor="text1"/>
          <w:shd w:val="clear" w:color="auto" w:fill="FFFFFF"/>
        </w:rPr>
        <w:t>lai nodrošinātu būvprojektā „Kujas tilts autoceļa V854 Liezēre-</w:t>
      </w:r>
      <w:proofErr w:type="spellStart"/>
      <w:r w:rsidRPr="002F78B5">
        <w:rPr>
          <w:rFonts w:cs="Times New Roman"/>
          <w:color w:val="000000" w:themeColor="text1"/>
          <w:shd w:val="clear" w:color="auto" w:fill="FFFFFF"/>
        </w:rPr>
        <w:t>Silakurmi</w:t>
      </w:r>
      <w:proofErr w:type="spellEnd"/>
      <w:r w:rsidRPr="002F78B5">
        <w:rPr>
          <w:rFonts w:cs="Times New Roman"/>
          <w:color w:val="000000" w:themeColor="text1"/>
          <w:shd w:val="clear" w:color="auto" w:fill="FFFFFF"/>
        </w:rPr>
        <w:t xml:space="preserve">-Graši 4,17 km” paredzēto projekta risinājumu realizāciju. </w:t>
      </w:r>
    </w:p>
    <w:p w14:paraId="28835101" w14:textId="77777777" w:rsidR="002F78B5" w:rsidRPr="002F78B5" w:rsidRDefault="002F78B5" w:rsidP="002F78B5">
      <w:pPr>
        <w:ind w:firstLine="284"/>
        <w:jc w:val="both"/>
        <w:rPr>
          <w:rFonts w:eastAsia="Calibri" w:cs="Times New Roman"/>
          <w:i/>
          <w:color w:val="000000" w:themeColor="text1"/>
        </w:rPr>
      </w:pPr>
      <w:r w:rsidRPr="002F78B5">
        <w:rPr>
          <w:rFonts w:eastAsia="Calibri" w:cs="Times New Roman"/>
          <w:color w:val="000000" w:themeColor="text1"/>
        </w:rPr>
        <w:tab/>
        <w:t xml:space="preserve">Zemes vienība ar kadastra apzīmējumu 70680090097 ir piekritīga Satiksmes ministrijai, pamatojoties uz 2010. gada 31. maija Ministru kabineta rīkojumu Nr. 297. “Par zemes vienību piederību vai piekritību valstij un nostiprināšanu zemesgrāmatā uz valsts vārds attiecīgās ministrijas vai valsts akciju sabiedrības “Privatizācijas aģentūra” vārdā”. Zemes vienība ar kadastra apzīmējumu 70680090099 ir piekritīga Madonas novada pašvaldībai. </w:t>
      </w:r>
    </w:p>
    <w:p w14:paraId="50C75539" w14:textId="77777777" w:rsidR="002F78B5" w:rsidRPr="002F78B5" w:rsidRDefault="002F78B5" w:rsidP="002F78B5">
      <w:pPr>
        <w:ind w:firstLine="720"/>
        <w:jc w:val="both"/>
        <w:rPr>
          <w:rFonts w:cs="Times New Roman"/>
          <w:i/>
          <w:iCs/>
          <w:color w:val="000000" w:themeColor="text1"/>
          <w:shd w:val="clear" w:color="auto" w:fill="FFFFFF"/>
        </w:rPr>
      </w:pPr>
      <w:r w:rsidRPr="002F78B5">
        <w:rPr>
          <w:rFonts w:eastAsia="Calibri" w:cs="Times New Roman"/>
          <w:color w:val="000000" w:themeColor="text1"/>
        </w:rPr>
        <w:t xml:space="preserve">Saskaņā ar </w:t>
      </w:r>
      <w:r w:rsidRPr="002F78B5">
        <w:rPr>
          <w:rFonts w:cs="Times New Roman"/>
          <w:iCs/>
          <w:color w:val="000000" w:themeColor="text1"/>
        </w:rPr>
        <w:t>1995. gada 29. martā pieņemtā likuma „Par valsts un pašvaldību zemes īpašuma tiesībām un to nostiprināšanu zemesgrāmatās” 4</w:t>
      </w:r>
      <w:r w:rsidRPr="002F78B5">
        <w:rPr>
          <w:rFonts w:cs="Times New Roman"/>
          <w:iCs/>
          <w:color w:val="000000" w:themeColor="text1"/>
          <w:vertAlign w:val="superscript"/>
        </w:rPr>
        <w:t>1</w:t>
      </w:r>
      <w:r w:rsidRPr="002F78B5">
        <w:rPr>
          <w:rFonts w:cs="Times New Roman"/>
          <w:iCs/>
          <w:color w:val="000000" w:themeColor="text1"/>
        </w:rPr>
        <w:t xml:space="preserve">.panta 5.apakšpunktu, kas nosaka, ka </w:t>
      </w:r>
      <w:r w:rsidRPr="002F78B5">
        <w:rPr>
          <w:rFonts w:cs="Times New Roman"/>
          <w:color w:val="000000" w:themeColor="text1"/>
          <w:shd w:val="clear" w:color="auto" w:fill="FFFFFF"/>
        </w:rPr>
        <w:t xml:space="preserve">zeme, kuras piederība 1940.gada 21.jūlijā nav konstatēta, zemes reformas laikā piekrīt valstij un ierakstāma zemesgrāmatās uz valsts vārda, ja vietējās pašvaldības teritorijas plānojumā attiecīgi neapbūvēti zemes gabali paredzēti jaunu valsts ēku (būvju) celtniecībai vai valsts funkciju īstenošanai, </w:t>
      </w:r>
      <w:bookmarkStart w:id="0" w:name="_Hlk89242682"/>
      <w:r w:rsidRPr="002F78B5">
        <w:rPr>
          <w:rFonts w:cs="Times New Roman"/>
          <w:iCs/>
          <w:color w:val="000000" w:themeColor="text1"/>
          <w:shd w:val="clear" w:color="auto" w:fill="FFFFFF"/>
        </w:rPr>
        <w:t xml:space="preserve">savstarpējo robežu pārkārtošana starp zemes vienībām ar kadastra apzīmējumiem </w:t>
      </w:r>
      <w:r w:rsidRPr="002F78B5">
        <w:rPr>
          <w:rFonts w:eastAsia="Calibri" w:cs="Times New Roman"/>
          <w:color w:val="000000" w:themeColor="text1"/>
        </w:rPr>
        <w:t>70680090097 un 70680090099 ir iespējama un saskaņā ar normatīvajiem aktiem.</w:t>
      </w:r>
      <w:bookmarkEnd w:id="0"/>
    </w:p>
    <w:p w14:paraId="0A1D5EF3" w14:textId="77777777" w:rsidR="002F78B5" w:rsidRPr="002F78B5" w:rsidRDefault="002F78B5" w:rsidP="002F78B5">
      <w:pPr>
        <w:ind w:firstLine="720"/>
        <w:jc w:val="both"/>
        <w:rPr>
          <w:rFonts w:eastAsia="Calibri" w:cs="Times New Roman"/>
          <w:i/>
          <w:color w:val="000000" w:themeColor="text1"/>
        </w:rPr>
      </w:pPr>
      <w:r w:rsidRPr="002F78B5">
        <w:rPr>
          <w:rFonts w:cs="Times New Roman"/>
          <w:iCs/>
          <w:color w:val="000000" w:themeColor="text1"/>
          <w:shd w:val="clear" w:color="auto" w:fill="FFFFFF"/>
        </w:rPr>
        <w:t xml:space="preserve">Saskaņā ar Madonas novada teritorijas plānojuma grafisko daļu, zemes vienību ar kadastra apzīmējumiem </w:t>
      </w:r>
      <w:r w:rsidRPr="002F78B5">
        <w:rPr>
          <w:rFonts w:eastAsia="Calibri" w:cs="Times New Roman"/>
          <w:color w:val="000000" w:themeColor="text1"/>
        </w:rPr>
        <w:t xml:space="preserve">70680090097 un 70680090099 funkcionālais zonējums atbilstoši </w:t>
      </w:r>
      <w:r w:rsidRPr="002F78B5">
        <w:rPr>
          <w:rFonts w:cs="Times New Roman"/>
          <w:iCs/>
          <w:color w:val="000000" w:themeColor="text1"/>
          <w:shd w:val="clear" w:color="auto" w:fill="FFFFFF"/>
        </w:rPr>
        <w:t xml:space="preserve">plānotai (atļautai) izmantošanai ir transporta infrastruktūras teritorijas (TR), </w:t>
      </w:r>
      <w:r w:rsidRPr="002F78B5">
        <w:rPr>
          <w:rFonts w:eastAsia="Calibri" w:cs="Times New Roman"/>
          <w:color w:val="000000" w:themeColor="text1"/>
        </w:rPr>
        <w:t xml:space="preserve">līdz ar ko noteikto nekustamo īpašumu lietošanas mērķu piekrītošo platību precizēšana ir atbilstoša. </w:t>
      </w:r>
    </w:p>
    <w:p w14:paraId="23D051B1" w14:textId="77777777" w:rsidR="002F78B5" w:rsidRPr="002F78B5" w:rsidRDefault="002F78B5" w:rsidP="002F78B5">
      <w:pPr>
        <w:ind w:firstLine="284"/>
        <w:jc w:val="both"/>
        <w:rPr>
          <w:rFonts w:cs="Times New Roman"/>
          <w:color w:val="000000" w:themeColor="text1"/>
        </w:rPr>
      </w:pPr>
      <w:r w:rsidRPr="002F78B5">
        <w:rPr>
          <w:rFonts w:eastAsia="Calibri" w:cs="Times New Roman"/>
          <w:color w:val="000000" w:themeColor="text1"/>
        </w:rPr>
        <w:tab/>
        <w:t xml:space="preserve">Saskaņā ar Valsts zemes dienesta Valsts kadastra informācijas sistēmā pieejamo informāciju īpašumtiesības uz zemes vienībām  ar kadastra apzīmējumiem 70680090097 un 70680090099 nav nostiprinātas Zemesgrāmatā. </w:t>
      </w:r>
      <w:r w:rsidRPr="002F78B5">
        <w:rPr>
          <w:rFonts w:cs="Times New Roman"/>
          <w:iCs/>
          <w:color w:val="000000" w:themeColor="text1"/>
        </w:rPr>
        <w:t>Saskaņā ar</w:t>
      </w:r>
      <w:r w:rsidRPr="002F78B5">
        <w:rPr>
          <w:rFonts w:eastAsia="Times New Roman" w:cs="Times New Roman"/>
          <w:iCs/>
          <w:color w:val="000000" w:themeColor="text1"/>
        </w:rPr>
        <w:t xml:space="preserve"> Zemes ierīcības likuma, Pārejas noteikumu 1. punktu, kas nosaka,</w:t>
      </w:r>
      <w:r w:rsidRPr="002F78B5">
        <w:rPr>
          <w:rFonts w:eastAsia="Times New Roman" w:cs="Times New Roman"/>
          <w:color w:val="000000" w:themeColor="text1"/>
        </w:rPr>
        <w:t xml:space="preserve"> ka </w:t>
      </w:r>
      <w:r w:rsidRPr="002F78B5">
        <w:rPr>
          <w:rFonts w:eastAsia="Times New Roman" w:cs="Times New Roman"/>
          <w:iCs/>
          <w:color w:val="000000" w:themeColor="text1"/>
        </w:rPr>
        <w:t>l</w:t>
      </w:r>
      <w:r w:rsidRPr="002F78B5">
        <w:rPr>
          <w:rFonts w:cs="Times New Roman"/>
          <w:iCs/>
          <w:color w:val="000000" w:themeColor="text1"/>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2F78B5">
        <w:rPr>
          <w:rFonts w:cs="Times New Roman"/>
          <w:color w:val="000000" w:themeColor="text1"/>
        </w:rPr>
        <w:t xml:space="preserve"> </w:t>
      </w:r>
      <w:r w:rsidRPr="002F78B5">
        <w:rPr>
          <w:rFonts w:cs="Times New Roman"/>
          <w:iCs/>
          <w:color w:val="000000" w:themeColor="text1"/>
        </w:rPr>
        <w:t>Lēmumam pievieno grafisko pielikumu, kurā norādīts zemes vienību sadalīšanas, apvienošanas vai zemes robežu pārkārtošanas risinājums</w:t>
      </w:r>
      <w:r w:rsidRPr="002F78B5">
        <w:rPr>
          <w:rFonts w:cs="Times New Roman"/>
          <w:color w:val="000000" w:themeColor="text1"/>
        </w:rPr>
        <w:t>.</w:t>
      </w:r>
      <w:r w:rsidRPr="002F78B5">
        <w:rPr>
          <w:rFonts w:cs="Times New Roman"/>
          <w:iCs/>
          <w:color w:val="000000" w:themeColor="text1"/>
        </w:rPr>
        <w:t xml:space="preserve"> </w:t>
      </w:r>
    </w:p>
    <w:p w14:paraId="4CEC874E" w14:textId="77777777" w:rsidR="00312690" w:rsidRPr="002F78B5" w:rsidRDefault="002F78B5" w:rsidP="0031269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themeColor="text1"/>
        </w:rPr>
      </w:pPr>
      <w:r w:rsidRPr="002F78B5">
        <w:rPr>
          <w:rFonts w:eastAsia="Times New Roman" w:cs="Times New Roman"/>
          <w:iCs/>
          <w:color w:val="000000" w:themeColor="text1"/>
        </w:rPr>
        <w:lastRenderedPageBreak/>
        <w:t>Pamatojoties uz Zemes ierīcības likuma, Pārejas noteikumu 1. punktu</w:t>
      </w:r>
      <w:r w:rsidRPr="002F78B5">
        <w:rPr>
          <w:rFonts w:cs="Times New Roman"/>
          <w:iCs/>
          <w:color w:val="000000" w:themeColor="text1"/>
        </w:rPr>
        <w:t>, likuma „Par valsts un pašvaldību zemes īpašuma tiesībām un to nostiprināšanu zemesgrāmatās” 4</w:t>
      </w:r>
      <w:r w:rsidRPr="002F78B5">
        <w:rPr>
          <w:rFonts w:cs="Times New Roman"/>
          <w:iCs/>
          <w:color w:val="000000" w:themeColor="text1"/>
          <w:vertAlign w:val="superscript"/>
        </w:rPr>
        <w:t>1</w:t>
      </w:r>
      <w:r w:rsidRPr="002F78B5">
        <w:rPr>
          <w:rFonts w:cs="Times New Roman"/>
          <w:iCs/>
          <w:color w:val="000000" w:themeColor="text1"/>
        </w:rPr>
        <w:t xml:space="preserve">.panta 5.apakšpunktu un </w:t>
      </w:r>
      <w:r w:rsidRPr="002F78B5">
        <w:rPr>
          <w:rFonts w:eastAsia="Times New Roman" w:cs="Times New Roman"/>
          <w:iCs/>
          <w:color w:val="000000" w:themeColor="text1"/>
        </w:rPr>
        <w:t>Ministru kabineta 2006. gada  20. jūnija noteikumiem Nr.496 “</w:t>
      </w:r>
      <w:r w:rsidRPr="002F78B5">
        <w:rPr>
          <w:rFonts w:cs="Times New Roman"/>
          <w:iCs/>
          <w:color w:val="000000" w:themeColor="text1"/>
        </w:rPr>
        <w:t>Nekustamā īpašuma lietošanas mērķu klasifikācija un nekustamā īpašuma lietošanas mērķu noteikšanas un maiņas kārtība</w:t>
      </w:r>
      <w:r w:rsidRPr="002F78B5">
        <w:rPr>
          <w:rFonts w:eastAsia="Times New Roman" w:cs="Times New Roman"/>
          <w:iCs/>
          <w:color w:val="000000" w:themeColor="text1"/>
        </w:rPr>
        <w:t>”, pirmās daļas 2.1.apakšpunktu,</w:t>
      </w:r>
      <w:r w:rsidRPr="002F78B5">
        <w:rPr>
          <w:rFonts w:eastAsia="Times New Roman" w:cs="Times New Roman"/>
          <w:b/>
          <w:iCs/>
          <w:color w:val="000000" w:themeColor="text1"/>
        </w:rPr>
        <w:t xml:space="preserve"> </w:t>
      </w:r>
      <w:r w:rsidRPr="002F78B5">
        <w:rPr>
          <w:rFonts w:eastAsia="Calibri" w:cs="Times New Roman"/>
          <w:iCs/>
          <w:color w:val="000000" w:themeColor="text1"/>
        </w:rPr>
        <w:t xml:space="preserve">ņemot vērā 17.05.2022. </w:t>
      </w:r>
      <w:r w:rsidRPr="002F78B5">
        <w:rPr>
          <w:rFonts w:eastAsia="Times New Roman" w:cs="Times New Roman"/>
          <w:iCs/>
          <w:color w:val="000000" w:themeColor="text1"/>
          <w:lang w:eastAsia="ar-SA"/>
        </w:rPr>
        <w:t>Uzņēmējdarbības, teritoriālo un vides jautājumu komitejas atzinumu,</w:t>
      </w:r>
      <w:r w:rsidRPr="002F78B5">
        <w:rPr>
          <w:rFonts w:eastAsia="Times New Roman" w:cs="Times New Roman"/>
          <w:color w:val="000000" w:themeColor="text1"/>
          <w:lang w:eastAsia="ar-SA"/>
        </w:rPr>
        <w:t xml:space="preserve"> </w:t>
      </w:r>
      <w:r w:rsidR="00312690" w:rsidRPr="002F78B5">
        <w:rPr>
          <w:rFonts w:cs="Times New Roman"/>
          <w:b/>
          <w:bCs/>
          <w:color w:val="000000" w:themeColor="text1"/>
        </w:rPr>
        <w:t xml:space="preserve">atklāti balsojot: </w:t>
      </w:r>
      <w:r w:rsidR="00312690" w:rsidRPr="002F78B5">
        <w:rPr>
          <w:rFonts w:cs="Times New Roman"/>
          <w:b/>
          <w:color w:val="000000" w:themeColor="text1"/>
        </w:rPr>
        <w:t xml:space="preserve">PAR – 18 </w:t>
      </w:r>
      <w:r w:rsidR="00312690" w:rsidRPr="002F78B5">
        <w:rPr>
          <w:rFonts w:cs="Times New Roman"/>
          <w:noProof/>
          <w:color w:val="000000" w:themeColor="text1"/>
        </w:rPr>
        <w:t xml:space="preserve">(Agris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 </w:t>
      </w:r>
      <w:r w:rsidR="00312690" w:rsidRPr="002F78B5">
        <w:rPr>
          <w:rFonts w:cs="Times New Roman"/>
          <w:b/>
          <w:color w:val="000000" w:themeColor="text1"/>
        </w:rPr>
        <w:t>PRET – NAV</w:t>
      </w:r>
      <w:r w:rsidR="00312690" w:rsidRPr="002F78B5">
        <w:rPr>
          <w:rFonts w:cs="Times New Roman"/>
          <w:bCs/>
          <w:noProof/>
          <w:color w:val="000000" w:themeColor="text1"/>
        </w:rPr>
        <w:t>,</w:t>
      </w:r>
      <w:r w:rsidR="00312690" w:rsidRPr="002F78B5">
        <w:rPr>
          <w:rFonts w:cs="Times New Roman"/>
          <w:b/>
          <w:color w:val="000000" w:themeColor="text1"/>
        </w:rPr>
        <w:t xml:space="preserve"> ATTURAS –  NAV</w:t>
      </w:r>
      <w:r w:rsidR="00312690" w:rsidRPr="002F78B5">
        <w:rPr>
          <w:rFonts w:cs="Times New Roman"/>
          <w:color w:val="000000" w:themeColor="text1"/>
        </w:rPr>
        <w:t>,</w:t>
      </w:r>
      <w:r w:rsidR="00312690" w:rsidRPr="002F78B5">
        <w:rPr>
          <w:rFonts w:cs="Times New Roman"/>
          <w:b/>
          <w:color w:val="000000" w:themeColor="text1"/>
        </w:rPr>
        <w:t xml:space="preserve"> </w:t>
      </w:r>
      <w:r w:rsidR="00312690" w:rsidRPr="002F78B5">
        <w:rPr>
          <w:rFonts w:cs="Times New Roman"/>
          <w:color w:val="000000" w:themeColor="text1"/>
        </w:rPr>
        <w:t xml:space="preserve">Madonas novada pašvaldības dome </w:t>
      </w:r>
      <w:r w:rsidR="00312690" w:rsidRPr="002F78B5">
        <w:rPr>
          <w:rFonts w:cs="Times New Roman"/>
          <w:b/>
          <w:color w:val="000000" w:themeColor="text1"/>
        </w:rPr>
        <w:t>NOLEMJ:</w:t>
      </w:r>
    </w:p>
    <w:p w14:paraId="07B29C17" w14:textId="54054DAB" w:rsidR="002F78B5" w:rsidRPr="002F78B5" w:rsidRDefault="002F78B5" w:rsidP="00312690">
      <w:pPr>
        <w:jc w:val="both"/>
        <w:rPr>
          <w:rFonts w:eastAsia="Times New Roman" w:cs="Times New Roman"/>
          <w:i/>
          <w:iCs/>
          <w:color w:val="000000" w:themeColor="text1"/>
        </w:rPr>
      </w:pPr>
    </w:p>
    <w:p w14:paraId="6A1AC0E5" w14:textId="77777777" w:rsidR="002F78B5" w:rsidRPr="002F78B5" w:rsidRDefault="002F78B5" w:rsidP="002F78B5">
      <w:pPr>
        <w:pStyle w:val="Sarakstarindkopa"/>
        <w:numPr>
          <w:ilvl w:val="0"/>
          <w:numId w:val="27"/>
        </w:numPr>
        <w:spacing w:after="0" w:line="240" w:lineRule="auto"/>
        <w:ind w:left="357" w:hanging="357"/>
        <w:jc w:val="both"/>
        <w:rPr>
          <w:rFonts w:ascii="Times New Roman" w:eastAsia="Times New Roman" w:hAnsi="Times New Roman" w:cs="Times New Roman"/>
          <w:i/>
          <w:iCs/>
          <w:color w:val="000000" w:themeColor="text1"/>
          <w:sz w:val="24"/>
          <w:szCs w:val="24"/>
        </w:rPr>
      </w:pPr>
      <w:r w:rsidRPr="002F78B5">
        <w:rPr>
          <w:rFonts w:ascii="Times New Roman" w:eastAsia="Times New Roman" w:hAnsi="Times New Roman" w:cs="Times New Roman"/>
          <w:iCs/>
          <w:color w:val="000000" w:themeColor="text1"/>
          <w:sz w:val="24"/>
          <w:szCs w:val="24"/>
        </w:rPr>
        <w:t xml:space="preserve">Pārkārtot zemes vienību ar kadastra apzīmējumiem </w:t>
      </w:r>
      <w:bookmarkStart w:id="1" w:name="_Hlk89095132"/>
      <w:r w:rsidRPr="002F78B5">
        <w:rPr>
          <w:rFonts w:ascii="Times New Roman" w:eastAsia="Calibri" w:hAnsi="Times New Roman" w:cs="Times New Roman"/>
          <w:color w:val="000000" w:themeColor="text1"/>
          <w:sz w:val="24"/>
          <w:szCs w:val="24"/>
        </w:rPr>
        <w:t>70680090097 un 70680090099</w:t>
      </w:r>
      <w:r w:rsidRPr="002F78B5">
        <w:rPr>
          <w:rFonts w:ascii="Times New Roman" w:eastAsia="Times New Roman" w:hAnsi="Times New Roman" w:cs="Times New Roman"/>
          <w:iCs/>
          <w:color w:val="000000" w:themeColor="text1"/>
          <w:sz w:val="24"/>
          <w:szCs w:val="24"/>
        </w:rPr>
        <w:t xml:space="preserve"> </w:t>
      </w:r>
      <w:bookmarkEnd w:id="1"/>
      <w:r w:rsidRPr="002F78B5">
        <w:rPr>
          <w:rFonts w:ascii="Times New Roman" w:eastAsia="Times New Roman" w:hAnsi="Times New Roman" w:cs="Times New Roman"/>
          <w:iCs/>
          <w:color w:val="000000" w:themeColor="text1"/>
          <w:sz w:val="24"/>
          <w:szCs w:val="24"/>
        </w:rPr>
        <w:t xml:space="preserve">savstarpējās robežas atbilstoši 1. pielikumam. </w:t>
      </w:r>
    </w:p>
    <w:p w14:paraId="1F670748" w14:textId="77777777" w:rsidR="002F78B5" w:rsidRPr="002F78B5" w:rsidRDefault="002F78B5" w:rsidP="002F78B5">
      <w:pPr>
        <w:pStyle w:val="Sarakstarindkopa"/>
        <w:numPr>
          <w:ilvl w:val="0"/>
          <w:numId w:val="27"/>
        </w:numPr>
        <w:spacing w:after="0" w:line="240" w:lineRule="auto"/>
        <w:ind w:left="357" w:hanging="357"/>
        <w:jc w:val="both"/>
        <w:rPr>
          <w:rFonts w:ascii="Times New Roman" w:eastAsia="Times New Roman" w:hAnsi="Times New Roman" w:cs="Times New Roman"/>
          <w:i/>
          <w:iCs/>
          <w:color w:val="000000" w:themeColor="text1"/>
          <w:sz w:val="24"/>
          <w:szCs w:val="24"/>
        </w:rPr>
      </w:pPr>
      <w:r w:rsidRPr="002F78B5">
        <w:rPr>
          <w:rFonts w:ascii="Times New Roman" w:eastAsia="Times New Roman" w:hAnsi="Times New Roman" w:cs="Times New Roman"/>
          <w:iCs/>
          <w:color w:val="000000" w:themeColor="text1"/>
          <w:sz w:val="24"/>
          <w:szCs w:val="24"/>
        </w:rPr>
        <w:t xml:space="preserve">Zemes vienībai ar kadastra apzīmējumu </w:t>
      </w:r>
      <w:r w:rsidRPr="002F78B5">
        <w:rPr>
          <w:rFonts w:ascii="Times New Roman" w:eastAsia="Calibri" w:hAnsi="Times New Roman" w:cs="Times New Roman"/>
          <w:color w:val="000000" w:themeColor="text1"/>
          <w:sz w:val="24"/>
          <w:szCs w:val="24"/>
        </w:rPr>
        <w:t>70680090099</w:t>
      </w:r>
      <w:r w:rsidRPr="002F78B5">
        <w:rPr>
          <w:rFonts w:ascii="Times New Roman" w:eastAsia="Times New Roman" w:hAnsi="Times New Roman" w:cs="Times New Roman"/>
          <w:iCs/>
          <w:color w:val="000000" w:themeColor="text1"/>
          <w:sz w:val="24"/>
          <w:szCs w:val="24"/>
        </w:rPr>
        <w:t xml:space="preserve"> </w:t>
      </w:r>
      <w:r w:rsidRPr="002F78B5">
        <w:rPr>
          <w:rFonts w:ascii="Times New Roman" w:eastAsia="Times New Roman" w:hAnsi="Times New Roman" w:cs="Times New Roman"/>
          <w:b/>
          <w:bCs/>
          <w:iCs/>
          <w:color w:val="000000" w:themeColor="text1"/>
          <w:sz w:val="24"/>
          <w:szCs w:val="24"/>
        </w:rPr>
        <w:t>noteikt</w:t>
      </w:r>
      <w:r w:rsidRPr="002F78B5">
        <w:rPr>
          <w:rFonts w:ascii="Times New Roman" w:eastAsia="Times New Roman" w:hAnsi="Times New Roman" w:cs="Times New Roman"/>
          <w:iCs/>
          <w:color w:val="000000" w:themeColor="text1"/>
          <w:sz w:val="24"/>
          <w:szCs w:val="24"/>
        </w:rPr>
        <w:t xml:space="preserve"> nekustamā īpašuma lietošanas mērķi un tam piekrītošo platību uz – zeme dzelzceļa infrastruktūras zemes nodalījuma joslā un ceļu zemes nodalījuma joslā (NĪLM kods 1101)  2,48 ha platībā. </w:t>
      </w:r>
    </w:p>
    <w:p w14:paraId="4E8F12D2" w14:textId="77777777" w:rsidR="002F78B5" w:rsidRPr="002F78B5" w:rsidRDefault="002F78B5" w:rsidP="002F78B5">
      <w:pPr>
        <w:pStyle w:val="Sarakstarindkopa"/>
        <w:numPr>
          <w:ilvl w:val="0"/>
          <w:numId w:val="27"/>
        </w:numPr>
        <w:spacing w:after="0" w:line="240" w:lineRule="auto"/>
        <w:ind w:left="357" w:hanging="357"/>
        <w:jc w:val="both"/>
        <w:rPr>
          <w:rFonts w:ascii="Times New Roman" w:eastAsia="Times New Roman" w:hAnsi="Times New Roman" w:cs="Times New Roman"/>
          <w:i/>
          <w:iCs/>
          <w:color w:val="000000" w:themeColor="text1"/>
          <w:sz w:val="24"/>
          <w:szCs w:val="24"/>
        </w:rPr>
      </w:pPr>
      <w:r w:rsidRPr="002F78B5">
        <w:rPr>
          <w:rFonts w:ascii="Times New Roman" w:eastAsia="Times New Roman" w:hAnsi="Times New Roman" w:cs="Times New Roman"/>
          <w:iCs/>
          <w:color w:val="000000" w:themeColor="text1"/>
          <w:sz w:val="24"/>
          <w:szCs w:val="24"/>
        </w:rPr>
        <w:t xml:space="preserve">Zemes vienībai ar kadastra apzīmējumu </w:t>
      </w:r>
      <w:r w:rsidRPr="002F78B5">
        <w:rPr>
          <w:rFonts w:ascii="Times New Roman" w:eastAsia="Calibri" w:hAnsi="Times New Roman" w:cs="Times New Roman"/>
          <w:color w:val="000000" w:themeColor="text1"/>
          <w:sz w:val="24"/>
          <w:szCs w:val="24"/>
        </w:rPr>
        <w:t>70680090097</w:t>
      </w:r>
      <w:r w:rsidRPr="002F78B5">
        <w:rPr>
          <w:rFonts w:ascii="Times New Roman" w:eastAsia="Times New Roman" w:hAnsi="Times New Roman" w:cs="Times New Roman"/>
          <w:iCs/>
          <w:color w:val="000000" w:themeColor="text1"/>
          <w:sz w:val="24"/>
          <w:szCs w:val="24"/>
        </w:rPr>
        <w:t xml:space="preserve"> </w:t>
      </w:r>
      <w:r w:rsidRPr="002F78B5">
        <w:rPr>
          <w:rFonts w:ascii="Times New Roman" w:eastAsia="Times New Roman" w:hAnsi="Times New Roman" w:cs="Times New Roman"/>
          <w:b/>
          <w:bCs/>
          <w:iCs/>
          <w:color w:val="000000" w:themeColor="text1"/>
          <w:sz w:val="24"/>
          <w:szCs w:val="24"/>
        </w:rPr>
        <w:t>noteikt</w:t>
      </w:r>
      <w:r w:rsidRPr="002F78B5">
        <w:rPr>
          <w:rFonts w:ascii="Times New Roman" w:eastAsia="Times New Roman" w:hAnsi="Times New Roman" w:cs="Times New Roman"/>
          <w:iCs/>
          <w:color w:val="000000" w:themeColor="text1"/>
          <w:sz w:val="24"/>
          <w:szCs w:val="24"/>
        </w:rPr>
        <w:t xml:space="preserve"> nekustamā īpašuma lietošanas mērķi un tam piekrītošo platību uz – zeme dzelzceļa infrastruktūras zemes nodalījuma joslā un ceļu zemes nodalījuma joslā (NĪLM kods 1101) 9,62 ha platībā. </w:t>
      </w:r>
    </w:p>
    <w:p w14:paraId="61D1EEEF" w14:textId="77777777" w:rsidR="002F78B5" w:rsidRPr="00312690" w:rsidRDefault="002F78B5" w:rsidP="00312690">
      <w:pPr>
        <w:jc w:val="both"/>
        <w:rPr>
          <w:rFonts w:eastAsia="Times New Roman" w:cs="Times New Roman"/>
          <w:i/>
          <w:iCs/>
          <w:color w:val="000000" w:themeColor="text1"/>
        </w:rPr>
      </w:pPr>
    </w:p>
    <w:p w14:paraId="4DC82F33" w14:textId="77777777" w:rsidR="002F78B5" w:rsidRPr="002F78B5" w:rsidRDefault="002F78B5" w:rsidP="002F78B5">
      <w:pPr>
        <w:jc w:val="both"/>
        <w:rPr>
          <w:rFonts w:eastAsia="Times New Roman" w:cs="Times New Roman"/>
          <w:i/>
          <w:iCs/>
          <w:color w:val="000000" w:themeColor="text1"/>
        </w:rPr>
      </w:pPr>
    </w:p>
    <w:p w14:paraId="13C79258" w14:textId="77777777" w:rsidR="002F78B5" w:rsidRPr="00312690" w:rsidRDefault="002F78B5" w:rsidP="002F78B5">
      <w:pPr>
        <w:jc w:val="both"/>
        <w:rPr>
          <w:rFonts w:eastAsia="Calibri" w:cs="Times New Roman"/>
          <w:i/>
          <w:color w:val="000000" w:themeColor="text1"/>
        </w:rPr>
      </w:pPr>
      <w:r w:rsidRPr="00312690">
        <w:rPr>
          <w:rFonts w:eastAsia="Calibri" w:cs="Times New Roman"/>
          <w:i/>
          <w:color w:val="000000" w:themeColor="text1"/>
        </w:rPr>
        <w:t>Saskaņā ar Administratīvā procesa likuma 188.panta pirmo daļu, lēmumu var pārsūdzēt viena mēneša laikā no lēmuma spēkā stāšanās dienas Administratīvajā rajona tiesā.</w:t>
      </w:r>
    </w:p>
    <w:p w14:paraId="6A45F323" w14:textId="77777777" w:rsidR="002F78B5" w:rsidRPr="00312690" w:rsidRDefault="002F78B5" w:rsidP="002F78B5">
      <w:pPr>
        <w:jc w:val="both"/>
        <w:rPr>
          <w:rFonts w:eastAsia="Calibri" w:cs="Times New Roman"/>
          <w:i/>
          <w:color w:val="000000" w:themeColor="text1"/>
        </w:rPr>
      </w:pPr>
      <w:r w:rsidRPr="00312690">
        <w:rPr>
          <w:rFonts w:eastAsia="Calibri" w:cs="Times New Roman"/>
          <w:i/>
          <w:color w:val="000000" w:themeColor="text1"/>
        </w:rPr>
        <w:t>Saskaņā ar Administratīvā procesa likuma 70.panta pirmo daļu, lēmums stājas spēkā ar brīdi, kad tas paziņots adresātam.</w:t>
      </w:r>
    </w:p>
    <w:p w14:paraId="188D7643" w14:textId="77777777" w:rsidR="002F78B5" w:rsidRPr="002F78B5" w:rsidRDefault="002F78B5" w:rsidP="002F78B5">
      <w:pPr>
        <w:jc w:val="both"/>
        <w:rPr>
          <w:rFonts w:cs="Times New Roman"/>
          <w:i/>
          <w:iCs/>
          <w:color w:val="000000" w:themeColor="text1"/>
        </w:rPr>
      </w:pPr>
    </w:p>
    <w:p w14:paraId="12A9BE3D" w14:textId="77777777" w:rsidR="002F78B5" w:rsidRPr="002F78B5" w:rsidRDefault="002F78B5" w:rsidP="002F78B5">
      <w:pPr>
        <w:rPr>
          <w:rFonts w:cs="Times New Roman"/>
          <w:color w:val="000000" w:themeColor="text1"/>
        </w:rPr>
      </w:pPr>
    </w:p>
    <w:p w14:paraId="72CC1378" w14:textId="016BFA72" w:rsidR="00DE716A" w:rsidRPr="002F78B5" w:rsidRDefault="00DE716A" w:rsidP="002F78B5">
      <w:pPr>
        <w:autoSpaceDE w:val="0"/>
        <w:autoSpaceDN w:val="0"/>
        <w:adjustRightInd w:val="0"/>
        <w:jc w:val="both"/>
        <w:rPr>
          <w:rFonts w:eastAsia="Calibri" w:cs="Times New Roman"/>
          <w:bCs/>
          <w:kern w:val="1"/>
        </w:rPr>
      </w:pPr>
      <w:bookmarkStart w:id="2" w:name="_GoBack"/>
      <w:bookmarkEnd w:id="2"/>
    </w:p>
    <w:p w14:paraId="49FC8F76" w14:textId="2A74D268" w:rsidR="00DF5D89" w:rsidRDefault="00DF5D89" w:rsidP="00DE716A">
      <w:pPr>
        <w:ind w:left="1080"/>
        <w:jc w:val="both"/>
        <w:rPr>
          <w:rFonts w:eastAsia="Calibri"/>
        </w:rPr>
      </w:pPr>
    </w:p>
    <w:p w14:paraId="5EB89B46" w14:textId="77777777" w:rsidR="008A7FDF" w:rsidRPr="00F625C1" w:rsidRDefault="008A7FDF" w:rsidP="00DE716A">
      <w:pPr>
        <w:ind w:left="1080"/>
        <w:jc w:val="both"/>
        <w:rPr>
          <w:rFonts w:eastAsia="Calibri"/>
        </w:rPr>
      </w:pPr>
    </w:p>
    <w:p w14:paraId="3A3805F5" w14:textId="6017A263"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41444822"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900C8D" w14:textId="19CB4971" w:rsidR="00216992" w:rsidRDefault="00216992" w:rsidP="00350DA3">
      <w:pPr>
        <w:widowControl/>
        <w:suppressAutoHyphens w:val="0"/>
        <w:ind w:left="720" w:firstLine="720"/>
        <w:jc w:val="both"/>
        <w:rPr>
          <w:rFonts w:eastAsia="Times New Roman" w:cs="Times New Roman"/>
          <w:color w:val="000000"/>
          <w:kern w:val="0"/>
          <w:lang w:eastAsia="lv-LV" w:bidi="lo-LA"/>
        </w:rPr>
      </w:pPr>
    </w:p>
    <w:p w14:paraId="26CD20DC" w14:textId="6B856E4F"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78E5C6AE" w14:textId="77777777"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6F02DBE1" w14:textId="77777777" w:rsidR="00097B39" w:rsidRDefault="00097B39" w:rsidP="00350DA3">
      <w:pPr>
        <w:widowControl/>
        <w:suppressAutoHyphens w:val="0"/>
        <w:ind w:left="720" w:firstLine="720"/>
        <w:jc w:val="both"/>
        <w:rPr>
          <w:rFonts w:eastAsia="Times New Roman" w:cs="Times New Roman"/>
          <w:color w:val="000000"/>
          <w:kern w:val="0"/>
          <w:lang w:eastAsia="lv-LV" w:bidi="lo-LA"/>
        </w:rPr>
      </w:pPr>
    </w:p>
    <w:p w14:paraId="60A42391" w14:textId="77777777" w:rsidR="002F78B5" w:rsidRPr="002F78B5" w:rsidRDefault="002F78B5" w:rsidP="002F78B5">
      <w:pPr>
        <w:rPr>
          <w:rFonts w:cs="Times New Roman"/>
          <w:i/>
        </w:rPr>
      </w:pPr>
      <w:proofErr w:type="spellStart"/>
      <w:r w:rsidRPr="002F78B5">
        <w:rPr>
          <w:rFonts w:cs="Times New Roman"/>
          <w:i/>
        </w:rPr>
        <w:t>Dzelzkalēja</w:t>
      </w:r>
      <w:proofErr w:type="spellEnd"/>
      <w:r w:rsidRPr="002F78B5">
        <w:rPr>
          <w:rFonts w:cs="Times New Roman"/>
          <w:i/>
        </w:rPr>
        <w:t xml:space="preserve"> 28080417</w:t>
      </w: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AEDFBE1"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06E4BDF5" w14:textId="77777777" w:rsidR="00B76C8F" w:rsidRDefault="00B76C8F"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021E2" w14:textId="77777777" w:rsidR="004F54D1" w:rsidRDefault="004F54D1" w:rsidP="00323CB2">
      <w:r>
        <w:separator/>
      </w:r>
    </w:p>
  </w:endnote>
  <w:endnote w:type="continuationSeparator" w:id="0">
    <w:p w14:paraId="3AD98C20" w14:textId="77777777" w:rsidR="004F54D1" w:rsidRDefault="004F54D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094474E" w:rsidR="00323CB2" w:rsidRDefault="00323CB2">
        <w:pPr>
          <w:pStyle w:val="Kjene"/>
          <w:jc w:val="center"/>
        </w:pPr>
        <w:r>
          <w:fldChar w:fldCharType="begin"/>
        </w:r>
        <w:r>
          <w:instrText>PAGE   \* MERGEFORMAT</w:instrText>
        </w:r>
        <w:r>
          <w:fldChar w:fldCharType="separate"/>
        </w:r>
        <w:r w:rsidR="00A36F85">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A267" w14:textId="77777777" w:rsidR="004F54D1" w:rsidRDefault="004F54D1" w:rsidP="00323CB2">
      <w:r>
        <w:separator/>
      </w:r>
    </w:p>
  </w:footnote>
  <w:footnote w:type="continuationSeparator" w:id="0">
    <w:p w14:paraId="4AF33BDA" w14:textId="77777777" w:rsidR="004F54D1" w:rsidRDefault="004F54D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21"/>
  </w:num>
  <w:num w:numId="7">
    <w:abstractNumId w:val="1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7"/>
  </w:num>
  <w:num w:numId="13">
    <w:abstractNumId w:val="24"/>
  </w:num>
  <w:num w:numId="14">
    <w:abstractNumId w:val="25"/>
  </w:num>
  <w:num w:numId="15">
    <w:abstractNumId w:val="9"/>
  </w:num>
  <w:num w:numId="16">
    <w:abstractNumId w:val="10"/>
  </w:num>
  <w:num w:numId="17">
    <w:abstractNumId w:val="5"/>
  </w:num>
  <w:num w:numId="18">
    <w:abstractNumId w:val="1"/>
  </w:num>
  <w:num w:numId="19">
    <w:abstractNumId w:val="6"/>
  </w:num>
  <w:num w:numId="20">
    <w:abstractNumId w:val="14"/>
  </w:num>
  <w:num w:numId="21">
    <w:abstractNumId w:val="0"/>
  </w:num>
  <w:num w:numId="22">
    <w:abstractNumId w:val="13"/>
  </w:num>
  <w:num w:numId="23">
    <w:abstractNumId w:val="23"/>
  </w:num>
  <w:num w:numId="24">
    <w:abstractNumId w:val="18"/>
  </w:num>
  <w:num w:numId="25">
    <w:abstractNumId w:val="19"/>
  </w:num>
  <w:num w:numId="26">
    <w:abstractNumId w:val="15"/>
  </w:num>
  <w:num w:numId="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4F54D1"/>
    <w:rsid w:val="005210E1"/>
    <w:rsid w:val="00537376"/>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DE716A"/>
    <w:rsid w:val="00DF5D89"/>
    <w:rsid w:val="00E0183E"/>
    <w:rsid w:val="00E143AB"/>
    <w:rsid w:val="00E149AE"/>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3253</Words>
  <Characters>1855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2022-06-01T08:36:00Z</dcterms:created>
  <dcterms:modified xsi:type="dcterms:W3CDTF">2022-06-01T08:37:00Z</dcterms:modified>
</cp:coreProperties>
</file>